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6E8E9900"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035558">
        <w:t xml:space="preserve"> – St Jerome’s</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49E4087" w:rsidR="002940F3" w:rsidRDefault="00035558" w:rsidP="00C31636">
            <w:pPr>
              <w:pStyle w:val="TableRow"/>
              <w:ind w:left="0" w:right="0"/>
            </w:pPr>
            <w:r>
              <w:t>195</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9D7AEB5" w:rsidR="002940F3" w:rsidRDefault="00035558" w:rsidP="00C31636">
            <w:pPr>
              <w:pStyle w:val="TableRow"/>
              <w:ind w:left="0" w:right="0"/>
            </w:pPr>
            <w:r>
              <w:t>8%</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026DD39" w:rsidR="002940F3" w:rsidRDefault="00035558" w:rsidP="00C31636">
            <w:pPr>
              <w:pStyle w:val="TableRow"/>
              <w:ind w:left="0" w:right="0"/>
            </w:pPr>
            <w:r>
              <w:t>2024-27</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7167517D" w:rsidR="002940F3" w:rsidRDefault="00035558" w:rsidP="00C31636">
            <w:pPr>
              <w:pStyle w:val="TableRow"/>
              <w:ind w:left="0" w:right="0"/>
            </w:pPr>
            <w:r>
              <w:t>November 2024</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9F97F69" w:rsidR="002940F3" w:rsidRDefault="00035558" w:rsidP="00C31636">
            <w:pPr>
              <w:pStyle w:val="TableRow"/>
              <w:ind w:left="0" w:right="0"/>
            </w:pPr>
            <w:r>
              <w:t>April 2025</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63637768" w:rsidR="002940F3" w:rsidRDefault="00035558" w:rsidP="00C31636">
            <w:pPr>
              <w:pStyle w:val="TableRow"/>
              <w:ind w:left="0" w:right="0"/>
            </w:pPr>
            <w:r>
              <w:t>Gemma Veevers</w:t>
            </w:r>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4FACB39A" w:rsidR="002940F3" w:rsidRDefault="00035558" w:rsidP="00C31636">
            <w:pPr>
              <w:pStyle w:val="TableRow"/>
              <w:ind w:left="0" w:right="0"/>
            </w:pPr>
            <w:r>
              <w:t>Gemma Veevers</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275CB73" w:rsidR="002940F3" w:rsidRDefault="00035558" w:rsidP="00C31636">
            <w:pPr>
              <w:pStyle w:val="TableRow"/>
              <w:ind w:left="0" w:right="0"/>
            </w:pPr>
            <w:r>
              <w:t>Catherine Houghton</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07B37654" w:rsidR="00E66558" w:rsidRDefault="009D71E8" w:rsidP="00C31636">
            <w:pPr>
              <w:pStyle w:val="TableRow"/>
              <w:ind w:left="0" w:right="0"/>
            </w:pPr>
            <w:r>
              <w:t>£</w:t>
            </w:r>
            <w:r w:rsidR="00035558">
              <w:t>30,170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2D926AC1" w:rsidR="00E66558" w:rsidRDefault="009D71E8" w:rsidP="00C31636">
            <w:pPr>
              <w:pStyle w:val="TableRow"/>
              <w:ind w:left="0" w:right="0"/>
            </w:pPr>
            <w:r>
              <w:t>£</w:t>
            </w:r>
            <w:r w:rsidR="00035558">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03E81545" w:rsidR="00E66558" w:rsidRDefault="009D71E8" w:rsidP="00C31636">
            <w:pPr>
              <w:pStyle w:val="TableRow"/>
              <w:ind w:left="0" w:right="0"/>
            </w:pPr>
            <w:r>
              <w:t>£</w:t>
            </w:r>
            <w:r w:rsidR="00035558">
              <w:t>30,170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FA72E" w14:textId="77777777" w:rsidR="00E66558" w:rsidRDefault="007E50FD" w:rsidP="00E83619">
            <w:pPr>
              <w:ind w:left="360"/>
              <w:rPr>
                <w:i/>
                <w:iCs/>
              </w:rPr>
            </w:pPr>
            <w:r>
              <w:rPr>
                <w:i/>
                <w:iCs/>
              </w:rPr>
              <w:t>At St Jerome’s, our mission is for our children to ‘Grow in God’s love.’ As part of this Mission, considering the best interests of all of the children we serve is at the heart of all that we do. In producing this Pupil Premium strategy, we have referred to the EEF’s ‘Tiered approach to Pupil Premium (2024).’ This approach ensures that additional funding ensures that all children are in receipt of high quality teaching, targeted academic support and it also considers any wider strategies to be implemented.</w:t>
            </w:r>
          </w:p>
          <w:p w14:paraId="2A7D54E9" w14:textId="0183A1D8" w:rsidR="007E50FD" w:rsidRPr="007E50FD" w:rsidRDefault="007E50FD" w:rsidP="00E83619">
            <w:pPr>
              <w:ind w:left="360"/>
              <w:rPr>
                <w:i/>
                <w:iCs/>
              </w:rPr>
            </w:pPr>
            <w:r>
              <w:rPr>
                <w:i/>
                <w:iCs/>
              </w:rPr>
              <w:t>We believe in forming excellent relationships wi</w:t>
            </w:r>
            <w:r w:rsidR="00F7683D">
              <w:rPr>
                <w:i/>
                <w:iCs/>
              </w:rPr>
              <w:t xml:space="preserve">th parents as we know that the key to a successful time in school is based on this. Working with families and parents also enables us to remove any barriers to attendance that may be in place. </w:t>
            </w:r>
            <w:r w:rsidR="004B06C9">
              <w:rPr>
                <w:i/>
                <w:iCs/>
              </w:rPr>
              <w:t xml:space="preserve">Our Pupil Premium strategy is shared with all staff, thus ensuring high priority is given to support pupils in receipt of additional funding. Children are at the very heart of all that we do at St Jerome’s and our disadvantaged pupils are prioritised in all that we do. </w:t>
            </w:r>
            <w:r w:rsidR="00E83619">
              <w:rPr>
                <w:i/>
                <w:iCs/>
              </w:rPr>
              <w:t xml:space="preserve">We believe in creating a holistic school experience where every child feels supported and is given access to high-quality provision and opportunities, regardless of their starting points. </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bookmarkStart w:id="16" w:name="_GoBack" w:colFirst="1" w:colLast="1"/>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B01CC90" w:rsidR="00E66558" w:rsidRPr="00B64A47" w:rsidRDefault="00A3083C" w:rsidP="00C31636">
            <w:pPr>
              <w:pStyle w:val="TableRowCentered"/>
              <w:ind w:left="0" w:right="0"/>
              <w:jc w:val="left"/>
              <w:rPr>
                <w:color w:val="auto"/>
              </w:rPr>
            </w:pPr>
            <w:r w:rsidRPr="00B64A47">
              <w:rPr>
                <w:iCs/>
                <w:color w:val="auto"/>
                <w:sz w:val="22"/>
                <w:szCs w:val="22"/>
              </w:rPr>
              <w:t>Poor ment</w:t>
            </w:r>
            <w:r w:rsidR="00DB575E" w:rsidRPr="00B64A47">
              <w:rPr>
                <w:iCs/>
                <w:color w:val="auto"/>
                <w:sz w:val="22"/>
                <w:szCs w:val="22"/>
              </w:rPr>
              <w:t xml:space="preserve">al health of some </w:t>
            </w:r>
            <w:r w:rsidRPr="00B64A47">
              <w:rPr>
                <w:iCs/>
                <w:color w:val="auto"/>
                <w:sz w:val="22"/>
                <w:szCs w:val="22"/>
              </w:rPr>
              <w:t>children</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rsidP="00C31636">
            <w:pPr>
              <w:pStyle w:val="TableRow"/>
              <w:ind w:left="0" w:right="0"/>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C363947" w:rsidR="00E66558" w:rsidRPr="00B64A47" w:rsidRDefault="00C42906" w:rsidP="00C31636">
            <w:pPr>
              <w:pStyle w:val="TableRowCentered"/>
              <w:ind w:left="0" w:right="0"/>
              <w:jc w:val="left"/>
              <w:rPr>
                <w:color w:val="auto"/>
                <w:sz w:val="22"/>
                <w:szCs w:val="22"/>
              </w:rPr>
            </w:pPr>
            <w:r w:rsidRPr="00B64A47">
              <w:rPr>
                <w:color w:val="auto"/>
                <w:sz w:val="22"/>
                <w:szCs w:val="22"/>
              </w:rPr>
              <w:t>Poor s</w:t>
            </w:r>
            <w:r w:rsidR="00E83619" w:rsidRPr="00B64A47">
              <w:rPr>
                <w:color w:val="auto"/>
                <w:sz w:val="22"/>
                <w:szCs w:val="22"/>
              </w:rPr>
              <w:t>ocial and emotional intelligence</w:t>
            </w:r>
            <w:r w:rsidRPr="00B64A47">
              <w:rPr>
                <w:color w:val="auto"/>
                <w:sz w:val="22"/>
                <w:szCs w:val="22"/>
              </w:rPr>
              <w:t xml:space="preserve"> for some disadvantaged children</w:t>
            </w:r>
          </w:p>
        </w:tc>
      </w:tr>
      <w:bookmarkEnd w:id="16"/>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rsidP="00C31636">
            <w:pPr>
              <w:pStyle w:val="TableRow"/>
              <w:ind w:left="0" w:right="0"/>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8FE9B72" w:rsidR="00E66558" w:rsidRDefault="00821109" w:rsidP="00821109">
            <w:pPr>
              <w:pStyle w:val="TableRowCentered"/>
              <w:ind w:left="0" w:right="0"/>
              <w:jc w:val="left"/>
              <w:rPr>
                <w:sz w:val="22"/>
                <w:szCs w:val="22"/>
              </w:rPr>
            </w:pPr>
            <w:r>
              <w:rPr>
                <w:sz w:val="22"/>
                <w:szCs w:val="22"/>
              </w:rPr>
              <w:t>An increase in the number of children requiring additional adult support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rsidP="00C31636">
            <w:pPr>
              <w:pStyle w:val="TableRow"/>
              <w:ind w:left="0" w:right="0"/>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92BF27F" w:rsidR="00E66558" w:rsidRDefault="00821109" w:rsidP="00821109">
            <w:pPr>
              <w:pStyle w:val="TableRowCentered"/>
              <w:ind w:left="0" w:right="0"/>
              <w:jc w:val="left"/>
              <w:rPr>
                <w:iCs/>
                <w:sz w:val="22"/>
              </w:rPr>
            </w:pPr>
            <w:r>
              <w:rPr>
                <w:iCs/>
                <w:sz w:val="22"/>
              </w:rPr>
              <w:t>School attendance is poor for some</w:t>
            </w:r>
            <w:r w:rsidR="00C42906">
              <w:rPr>
                <w:iCs/>
                <w:sz w:val="22"/>
              </w:rPr>
              <w:t xml:space="preserve"> disadvantaged</w:t>
            </w:r>
            <w:r>
              <w:rPr>
                <w:iCs/>
                <w:sz w:val="22"/>
              </w:rPr>
              <w:t xml:space="preserve"> children </w:t>
            </w:r>
          </w:p>
        </w:tc>
      </w:tr>
      <w:tr w:rsidR="00C42906" w14:paraId="610AD13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1C2E3" w14:textId="56B55ED7" w:rsidR="00C42906" w:rsidRDefault="00C42906" w:rsidP="00C31636">
            <w:pPr>
              <w:pStyle w:val="TableRow"/>
              <w:ind w:left="0" w:right="0"/>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E6FFC" w14:textId="606D63CA" w:rsidR="00C42906" w:rsidRDefault="00C42906" w:rsidP="00821109">
            <w:pPr>
              <w:pStyle w:val="TableRowCentered"/>
              <w:ind w:left="0" w:right="0"/>
              <w:jc w:val="left"/>
              <w:rPr>
                <w:iCs/>
                <w:sz w:val="22"/>
              </w:rPr>
            </w:pPr>
            <w:r>
              <w:rPr>
                <w:iCs/>
                <w:sz w:val="22"/>
              </w:rPr>
              <w:t xml:space="preserve">Lower attainment of some disadvantaged </w:t>
            </w:r>
          </w:p>
        </w:tc>
      </w:tr>
    </w:tbl>
    <w:p w14:paraId="2A7D54FF" w14:textId="77777777" w:rsidR="00E66558" w:rsidRDefault="009D71E8">
      <w:pPr>
        <w:pStyle w:val="Heading2"/>
        <w:spacing w:before="600"/>
      </w:pPr>
      <w:bookmarkStart w:id="17" w:name="_Toc443397160"/>
      <w:r>
        <w:t xml:space="preserve">Intended </w:t>
      </w:r>
      <w:r w:rsidRPr="00A968DA">
        <w:t>outcomes</w:t>
      </w:r>
      <w:r>
        <w:t xml:space="preserve"> </w:t>
      </w:r>
    </w:p>
    <w:p w14:paraId="6F64DE3C" w14:textId="77777777" w:rsidR="00E81C87" w:rsidRDefault="009D71E8">
      <w:pPr>
        <w:rPr>
          <w:color w:val="auto"/>
        </w:rPr>
      </w:pPr>
      <w:r>
        <w:rPr>
          <w:color w:val="auto"/>
        </w:rPr>
        <w:t xml:space="preserve">This explains the outcomes we are aiming for </w:t>
      </w:r>
      <w:r>
        <w:rPr>
          <w:b/>
          <w:bCs/>
          <w:color w:val="auto"/>
        </w:rPr>
        <w:t>by the end of our current strategy plan</w:t>
      </w:r>
      <w:r>
        <w:rPr>
          <w:color w:val="auto"/>
        </w:rPr>
        <w:t xml:space="preserve">, </w:t>
      </w:r>
    </w:p>
    <w:p w14:paraId="2A7D5500" w14:textId="2D59F6FC" w:rsidR="00E66558" w:rsidRDefault="009D71E8">
      <w:r>
        <w:rPr>
          <w:color w:val="auto"/>
        </w:rPr>
        <w:t>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lastRenderedPageBreak/>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2B46A8D" w:rsidR="00E66558" w:rsidRPr="00B64A47" w:rsidRDefault="008A22EB" w:rsidP="00C31636">
            <w:pPr>
              <w:pStyle w:val="TableRow"/>
              <w:ind w:left="0" w:right="0"/>
              <w:rPr>
                <w:color w:val="auto"/>
              </w:rPr>
            </w:pPr>
            <w:r w:rsidRPr="00B64A47">
              <w:rPr>
                <w:iCs/>
                <w:color w:val="auto"/>
                <w:sz w:val="22"/>
                <w:szCs w:val="22"/>
              </w:rPr>
              <w:t>Children</w:t>
            </w:r>
            <w:r w:rsidR="004F7BF7" w:rsidRPr="00B64A47">
              <w:rPr>
                <w:iCs/>
                <w:color w:val="auto"/>
                <w:sz w:val="22"/>
                <w:szCs w:val="22"/>
              </w:rPr>
              <w:t>’</w:t>
            </w:r>
            <w:r w:rsidRPr="00B64A47">
              <w:rPr>
                <w:iCs/>
                <w:color w:val="auto"/>
                <w:sz w:val="22"/>
                <w:szCs w:val="22"/>
              </w:rPr>
              <w:t>s attendance improved where needed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0A107CF1" w:rsidR="00E66558" w:rsidRDefault="00750CAD" w:rsidP="00C31636">
            <w:pPr>
              <w:pStyle w:val="TableRowCentered"/>
              <w:ind w:left="0" w:right="0"/>
              <w:jc w:val="left"/>
              <w:rPr>
                <w:sz w:val="22"/>
                <w:szCs w:val="22"/>
              </w:rPr>
            </w:pPr>
            <w:r>
              <w:rPr>
                <w:sz w:val="22"/>
                <w:szCs w:val="22"/>
              </w:rPr>
              <w:t>Increase in persistent absence of vulnerable pupils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856A2CB" w:rsidR="00E66558" w:rsidRPr="00B64A47" w:rsidRDefault="004F7BF7" w:rsidP="00C31636">
            <w:pPr>
              <w:pStyle w:val="TableRow"/>
              <w:ind w:left="0" w:right="0"/>
              <w:rPr>
                <w:color w:val="auto"/>
                <w:sz w:val="22"/>
                <w:szCs w:val="22"/>
              </w:rPr>
            </w:pPr>
            <w:r w:rsidRPr="00B64A47">
              <w:rPr>
                <w:color w:val="auto"/>
                <w:sz w:val="22"/>
                <w:szCs w:val="22"/>
              </w:rPr>
              <w:t>Support for interventions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202C1A3" w:rsidR="00E66558" w:rsidRDefault="00750CAD" w:rsidP="00C31636">
            <w:pPr>
              <w:pStyle w:val="TableRowCentered"/>
              <w:ind w:left="0" w:right="0"/>
              <w:jc w:val="left"/>
              <w:rPr>
                <w:sz w:val="22"/>
                <w:szCs w:val="22"/>
              </w:rPr>
            </w:pPr>
            <w:r>
              <w:rPr>
                <w:sz w:val="22"/>
                <w:szCs w:val="22"/>
              </w:rPr>
              <w:t>Increasing number of children accessing interventions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6CA126C" w:rsidR="00E66558" w:rsidRPr="00B64A47" w:rsidRDefault="004F7BF7" w:rsidP="00C31636">
            <w:pPr>
              <w:pStyle w:val="TableRow"/>
              <w:ind w:left="0" w:right="0"/>
              <w:rPr>
                <w:color w:val="auto"/>
                <w:sz w:val="22"/>
                <w:szCs w:val="22"/>
              </w:rPr>
            </w:pPr>
            <w:r w:rsidRPr="00B64A47">
              <w:rPr>
                <w:color w:val="auto"/>
                <w:sz w:val="22"/>
                <w:szCs w:val="22"/>
              </w:rPr>
              <w:t>Children to be happy coming into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56D54F3D" w:rsidR="00E66558" w:rsidRDefault="00750CAD" w:rsidP="00C31636">
            <w:pPr>
              <w:pStyle w:val="TableRowCentered"/>
              <w:ind w:left="0" w:right="0"/>
              <w:jc w:val="left"/>
              <w:rPr>
                <w:sz w:val="22"/>
                <w:szCs w:val="22"/>
              </w:rPr>
            </w:pPr>
            <w:r>
              <w:rPr>
                <w:sz w:val="22"/>
                <w:szCs w:val="22"/>
              </w:rPr>
              <w:t>Reduction in adult intervention required for children to come into school</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064BC2B" w:rsidR="00E66558" w:rsidRPr="00B64A47" w:rsidRDefault="004F7BF7" w:rsidP="00C31636">
            <w:pPr>
              <w:pStyle w:val="TableRow"/>
              <w:ind w:left="0" w:right="0"/>
              <w:rPr>
                <w:color w:val="auto"/>
                <w:sz w:val="22"/>
                <w:szCs w:val="22"/>
              </w:rPr>
            </w:pPr>
            <w:r w:rsidRPr="00B64A47">
              <w:rPr>
                <w:color w:val="auto"/>
                <w:sz w:val="22"/>
                <w:szCs w:val="22"/>
              </w:rPr>
              <w:t>Children to at least maintain current academic profile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6326E01A" w:rsidR="00E66558" w:rsidRDefault="00750CAD" w:rsidP="00C31636">
            <w:pPr>
              <w:pStyle w:val="TableRowCentered"/>
              <w:ind w:left="0" w:right="0"/>
              <w:jc w:val="left"/>
              <w:rPr>
                <w:sz w:val="22"/>
                <w:szCs w:val="22"/>
              </w:rPr>
            </w:pPr>
            <w:r>
              <w:rPr>
                <w:sz w:val="22"/>
                <w:szCs w:val="22"/>
              </w:rPr>
              <w:t>Internal assessment data to indicate that children have maintained or improved in R, W and M from starting points</w:t>
            </w:r>
          </w:p>
        </w:tc>
      </w:tr>
    </w:tbl>
    <w:p w14:paraId="2A7D5512" w14:textId="39CE449C" w:rsidR="00E66558" w:rsidRDefault="004F7BF7">
      <w:pPr>
        <w:pStyle w:val="Heading2"/>
      </w:pPr>
      <w:r>
        <w:t>A</w:t>
      </w:r>
      <w:r w:rsidR="009D71E8">
        <w:t>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4EF4224" w:rsidR="00E66558" w:rsidRDefault="00750CAD">
      <w:r>
        <w:t>Budgeted cost: £8000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4EEDA264" w:rsidR="00E66558" w:rsidRPr="00B64A47" w:rsidRDefault="00C42906" w:rsidP="000B51A2">
            <w:pPr>
              <w:pStyle w:val="TableRow"/>
              <w:rPr>
                <w:color w:val="auto"/>
              </w:rPr>
            </w:pPr>
            <w:r w:rsidRPr="00B64A47">
              <w:rPr>
                <w:iCs/>
                <w:color w:val="auto"/>
                <w:sz w:val="22"/>
                <w:szCs w:val="22"/>
              </w:rPr>
              <w:t>All teaching staff to access high-quality CPD. The aim is to develop high-</w:t>
            </w:r>
            <w:r w:rsidR="000B51A2" w:rsidRPr="00B64A47">
              <w:rPr>
                <w:iCs/>
                <w:color w:val="auto"/>
                <w:sz w:val="22"/>
                <w:szCs w:val="22"/>
              </w:rPr>
              <w:t>quality teaching, assessment and a broad and balanced, knowledge-based curriculum that responds to the needs of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46636" w14:textId="13385729" w:rsidR="00E66558" w:rsidRPr="00B64A47" w:rsidRDefault="00C42906" w:rsidP="00C31636">
            <w:pPr>
              <w:pStyle w:val="TableRowCentered"/>
              <w:ind w:left="0" w:right="0"/>
              <w:jc w:val="left"/>
              <w:rPr>
                <w:color w:val="auto"/>
                <w:sz w:val="22"/>
              </w:rPr>
            </w:pPr>
            <w:r w:rsidRPr="00B64A47">
              <w:rPr>
                <w:color w:val="auto"/>
                <w:sz w:val="22"/>
              </w:rPr>
              <w:t>We will be</w:t>
            </w:r>
            <w:r w:rsidR="000B51A2" w:rsidRPr="00B64A47">
              <w:rPr>
                <w:color w:val="auto"/>
                <w:sz w:val="22"/>
              </w:rPr>
              <w:t xml:space="preserve"> focu</w:t>
            </w:r>
            <w:r w:rsidR="00234FE5" w:rsidRPr="00B64A47">
              <w:rPr>
                <w:color w:val="auto"/>
                <w:sz w:val="22"/>
              </w:rPr>
              <w:t>s</w:t>
            </w:r>
            <w:r w:rsidRPr="00B64A47">
              <w:rPr>
                <w:color w:val="auto"/>
                <w:sz w:val="22"/>
              </w:rPr>
              <w:t>ing</w:t>
            </w:r>
            <w:r w:rsidR="00234FE5" w:rsidRPr="00B64A47">
              <w:rPr>
                <w:color w:val="auto"/>
                <w:sz w:val="22"/>
              </w:rPr>
              <w:t xml:space="preserve"> </w:t>
            </w:r>
            <w:r w:rsidR="000B51A2" w:rsidRPr="00B64A47">
              <w:rPr>
                <w:color w:val="auto"/>
                <w:sz w:val="22"/>
              </w:rPr>
              <w:t>on b</w:t>
            </w:r>
            <w:r w:rsidR="00234FE5" w:rsidRPr="00B64A47">
              <w:rPr>
                <w:color w:val="auto"/>
                <w:sz w:val="22"/>
              </w:rPr>
              <w:t>uil</w:t>
            </w:r>
            <w:r w:rsidR="000B51A2" w:rsidRPr="00B64A47">
              <w:rPr>
                <w:color w:val="auto"/>
                <w:sz w:val="22"/>
              </w:rPr>
              <w:t>ding teacher knowledge and pedagogical expertise, curriculum development and the purposeful use of assessment. (EEF)</w:t>
            </w:r>
          </w:p>
          <w:p w14:paraId="2A7D551B" w14:textId="0A33FD78" w:rsidR="000B51A2" w:rsidRPr="00B64A47" w:rsidRDefault="000B51A2" w:rsidP="00C31636">
            <w:pPr>
              <w:pStyle w:val="TableRowCentered"/>
              <w:ind w:left="0" w:right="0"/>
              <w:jc w:val="left"/>
              <w:rPr>
                <w:color w:val="auto"/>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B31797D" w:rsidR="00234FE5" w:rsidRPr="000B51A2" w:rsidRDefault="00E81C87" w:rsidP="00C31636">
            <w:pPr>
              <w:pStyle w:val="TableRowCentered"/>
              <w:ind w:left="0" w:right="0"/>
              <w:jc w:val="left"/>
              <w:rPr>
                <w:color w:val="FF0000"/>
                <w:sz w:val="22"/>
              </w:rPr>
            </w:pPr>
            <w:r>
              <w:rPr>
                <w:color w:val="FF0000"/>
                <w:sz w:val="22"/>
              </w:rPr>
              <w:t>5</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3015963" w:rsidR="00E66558" w:rsidRPr="00B64A47" w:rsidRDefault="000B51A2" w:rsidP="000B51A2">
            <w:pPr>
              <w:pStyle w:val="TableRow"/>
              <w:rPr>
                <w:color w:val="auto"/>
                <w:sz w:val="22"/>
              </w:rPr>
            </w:pPr>
            <w:r w:rsidRPr="00B64A47">
              <w:rPr>
                <w:color w:val="auto"/>
                <w:sz w:val="22"/>
              </w:rPr>
              <w:t>Professional development to support the implementation of evidence-based approac</w:t>
            </w:r>
            <w:r w:rsidR="00234FE5" w:rsidRPr="00B64A47">
              <w:rPr>
                <w:color w:val="auto"/>
                <w:sz w:val="22"/>
              </w:rPr>
              <w:t>hes.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B486E" w14:textId="77777777" w:rsidR="00E66558" w:rsidRPr="00B64A47" w:rsidRDefault="00B86E26" w:rsidP="00C31636">
            <w:pPr>
              <w:pStyle w:val="TableRowCentered"/>
              <w:ind w:left="0" w:right="0"/>
              <w:jc w:val="left"/>
              <w:rPr>
                <w:color w:val="auto"/>
                <w:sz w:val="22"/>
              </w:rPr>
            </w:pPr>
            <w:r w:rsidRPr="00B64A47">
              <w:rPr>
                <w:color w:val="auto"/>
                <w:sz w:val="22"/>
              </w:rPr>
              <w:t>Supporting continuous and sustained professional development is crucial</w:t>
            </w:r>
            <w:r w:rsidR="00234FE5" w:rsidRPr="00B64A47">
              <w:rPr>
                <w:color w:val="auto"/>
                <w:sz w:val="22"/>
              </w:rPr>
              <w:t xml:space="preserve"> to developing teacher practice. The content of professional development should be based on the best available evidence and should balance the need to build knowledge, motivate teachers, develop specific techniques and embed new approaches. (EEF)</w:t>
            </w:r>
          </w:p>
          <w:p w14:paraId="2A7D551F" w14:textId="029F260D" w:rsidR="00234FE5" w:rsidRPr="00B64A47" w:rsidRDefault="00234FE5" w:rsidP="00C31636">
            <w:pPr>
              <w:pStyle w:val="TableRowCentered"/>
              <w:ind w:left="0" w:right="0"/>
              <w:jc w:val="left"/>
              <w:rPr>
                <w:color w:val="auto"/>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EDDA7B2" w:rsidR="00234FE5" w:rsidRPr="000B51A2" w:rsidRDefault="00E81C87" w:rsidP="00C31636">
            <w:pPr>
              <w:pStyle w:val="TableRowCentered"/>
              <w:ind w:left="0" w:right="0"/>
              <w:jc w:val="left"/>
              <w:rPr>
                <w:color w:val="FF0000"/>
                <w:sz w:val="22"/>
              </w:rPr>
            </w:pPr>
            <w:r>
              <w:rPr>
                <w:color w:val="FF0000"/>
                <w:sz w:val="22"/>
              </w:rPr>
              <w:t>1,2,5</w:t>
            </w:r>
          </w:p>
        </w:tc>
      </w:tr>
      <w:tr w:rsidR="000B51A2" w14:paraId="32F8AA2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C4380" w14:textId="083073ED" w:rsidR="000B51A2" w:rsidRPr="00B64A47" w:rsidRDefault="000B51A2" w:rsidP="000B51A2">
            <w:pPr>
              <w:pStyle w:val="TableRow"/>
              <w:rPr>
                <w:color w:val="auto"/>
                <w:sz w:val="22"/>
              </w:rPr>
            </w:pPr>
            <w:r w:rsidRPr="00B64A47">
              <w:rPr>
                <w:color w:val="auto"/>
                <w:sz w:val="22"/>
              </w:rPr>
              <w:t>Technology and other resources to support high quality teaching and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69217" w14:textId="23F93BBF" w:rsidR="000B51A2" w:rsidRPr="00B64A47" w:rsidRDefault="00C42906" w:rsidP="00C31636">
            <w:pPr>
              <w:pStyle w:val="TableRowCentered"/>
              <w:ind w:left="0" w:right="0"/>
              <w:jc w:val="left"/>
              <w:rPr>
                <w:color w:val="auto"/>
                <w:sz w:val="22"/>
              </w:rPr>
            </w:pPr>
            <w:r w:rsidRPr="00B64A47">
              <w:rPr>
                <w:color w:val="auto"/>
                <w:sz w:val="22"/>
              </w:rPr>
              <w:t>To improve learning we will audit our technology provision. This will allow us to address any barriers in technology– particularly for disadvantaged pupils</w:t>
            </w:r>
            <w:r w:rsidR="00234FE5" w:rsidRPr="00B64A47">
              <w:rPr>
                <w:color w:val="auto"/>
                <w:sz w:val="22"/>
              </w:rPr>
              <w:t xml:space="preserve"> – </w:t>
            </w:r>
            <w:r w:rsidR="00234FE5" w:rsidRPr="00B64A47">
              <w:rPr>
                <w:color w:val="auto"/>
                <w:sz w:val="22"/>
              </w:rPr>
              <w:lastRenderedPageBreak/>
              <w:t>and use technology in a way that is informed by effective pedagogy.</w:t>
            </w:r>
          </w:p>
          <w:p w14:paraId="64B662C9" w14:textId="50226DA4" w:rsidR="00234FE5" w:rsidRPr="00B64A47" w:rsidRDefault="00234FE5" w:rsidP="00C31636">
            <w:pPr>
              <w:pStyle w:val="TableRowCentered"/>
              <w:ind w:left="0" w:right="0"/>
              <w:jc w:val="left"/>
              <w:rPr>
                <w:color w:val="auto"/>
                <w:sz w:val="22"/>
              </w:rPr>
            </w:pPr>
            <w:r w:rsidRPr="00B64A47">
              <w:rPr>
                <w:color w:val="auto"/>
                <w:sz w:val="22"/>
              </w:rPr>
              <w:t>See EEF – updates in relation to EdTech, Using Digital technology to Improve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89854" w14:textId="20916B3F" w:rsidR="000B51A2" w:rsidRPr="000B51A2" w:rsidRDefault="00E81C87" w:rsidP="00C31636">
            <w:pPr>
              <w:pStyle w:val="TableRowCentered"/>
              <w:ind w:left="0" w:right="0"/>
              <w:jc w:val="left"/>
              <w:rPr>
                <w:color w:val="FF0000"/>
                <w:sz w:val="22"/>
              </w:rPr>
            </w:pPr>
            <w:r>
              <w:rPr>
                <w:color w:val="FF0000"/>
                <w:sz w:val="22"/>
              </w:rPr>
              <w:lastRenderedPageBreak/>
              <w:t>5</w:t>
            </w:r>
          </w:p>
        </w:tc>
      </w:tr>
    </w:tbl>
    <w:p w14:paraId="2A7D5522" w14:textId="029FEF5E" w:rsidR="00E66558" w:rsidRDefault="00E66558" w:rsidP="00ED5108"/>
    <w:p w14:paraId="4CAE93C8" w14:textId="77777777" w:rsidR="00CE2FEA" w:rsidRDefault="00CE2FEA" w:rsidP="00ED5108"/>
    <w:p w14:paraId="4F4CA0EC" w14:textId="77777777" w:rsidR="00CE2FEA" w:rsidRDefault="00CE2FEA"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3C4C7B65" w:rsidR="00E66558" w:rsidRDefault="00750CAD">
      <w:r>
        <w:t>Budgeted cost: £7000</w:t>
      </w:r>
    </w:p>
    <w:tbl>
      <w:tblPr>
        <w:tblW w:w="5000" w:type="pct"/>
        <w:tblCellMar>
          <w:left w:w="10" w:type="dxa"/>
          <w:right w:w="10" w:type="dxa"/>
        </w:tblCellMar>
        <w:tblLook w:val="04A0" w:firstRow="1" w:lastRow="0" w:firstColumn="1" w:lastColumn="0" w:noHBand="0" w:noVBand="1"/>
      </w:tblPr>
      <w:tblGrid>
        <w:gridCol w:w="2405"/>
        <w:gridCol w:w="4537"/>
        <w:gridCol w:w="2544"/>
      </w:tblGrid>
      <w:tr w:rsidR="00E66558" w14:paraId="2A7D5528" w14:textId="77777777" w:rsidTr="00CE2FEA">
        <w:tc>
          <w:tcPr>
            <w:tcW w:w="240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53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558" w14:paraId="2A7D552C" w14:textId="77777777" w:rsidTr="00CE2FEA">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7499521" w:rsidR="00E66558" w:rsidRPr="00B64A47" w:rsidRDefault="00466B7F" w:rsidP="00466B7F">
            <w:pPr>
              <w:pStyle w:val="TableRow"/>
              <w:rPr>
                <w:color w:val="auto"/>
              </w:rPr>
            </w:pPr>
            <w:r w:rsidRPr="00B64A47">
              <w:rPr>
                <w:iCs/>
                <w:color w:val="auto"/>
                <w:sz w:val="22"/>
                <w:szCs w:val="22"/>
              </w:rPr>
              <w:t>One to one, small group or peer academic tuition</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631C9E20" w:rsidR="006D411F" w:rsidRPr="00B64A47" w:rsidRDefault="006D411F" w:rsidP="00C31636">
            <w:pPr>
              <w:pStyle w:val="TableRowCentered"/>
              <w:ind w:left="0" w:right="0"/>
              <w:jc w:val="left"/>
              <w:rPr>
                <w:color w:val="auto"/>
                <w:sz w:val="22"/>
              </w:rPr>
            </w:pPr>
            <w:r w:rsidRPr="00B64A47">
              <w:rPr>
                <w:color w:val="auto"/>
                <w:sz w:val="22"/>
              </w:rPr>
              <w:t>Intensive support, either 1:1 o</w:t>
            </w:r>
            <w:r w:rsidR="004B06C9" w:rsidRPr="00B64A47">
              <w:rPr>
                <w:color w:val="auto"/>
                <w:sz w:val="22"/>
              </w:rPr>
              <w:t xml:space="preserve">r as part of a small group, used to </w:t>
            </w:r>
            <w:r w:rsidRPr="00B64A47">
              <w:rPr>
                <w:color w:val="auto"/>
                <w:sz w:val="22"/>
              </w:rPr>
              <w:t xml:space="preserve">support learning if provided in addition to and explicity linked with normal lessons. </w:t>
            </w:r>
            <w:r w:rsidR="004B06C9" w:rsidRPr="00B64A47">
              <w:rPr>
                <w:color w:val="auto"/>
                <w:sz w:val="22"/>
              </w:rPr>
              <w:t>Careful consideration is given to the</w:t>
            </w:r>
            <w:r w:rsidRPr="00B64A47">
              <w:rPr>
                <w:color w:val="auto"/>
                <w:sz w:val="22"/>
              </w:rPr>
              <w:t xml:space="preserve"> implement</w:t>
            </w:r>
            <w:r w:rsidR="004B06C9" w:rsidRPr="00B64A47">
              <w:rPr>
                <w:color w:val="auto"/>
                <w:sz w:val="22"/>
              </w:rPr>
              <w:t>ation of</w:t>
            </w:r>
            <w:r w:rsidRPr="00B64A47">
              <w:rPr>
                <w:color w:val="auto"/>
                <w:sz w:val="22"/>
              </w:rPr>
              <w:t xml:space="preserve"> tuition, including </w:t>
            </w:r>
            <w:r w:rsidR="004B06C9" w:rsidRPr="00B64A47">
              <w:rPr>
                <w:color w:val="auto"/>
                <w:sz w:val="22"/>
              </w:rPr>
              <w:t xml:space="preserve">how </w:t>
            </w:r>
            <w:r w:rsidRPr="00B64A47">
              <w:rPr>
                <w:color w:val="auto"/>
                <w:sz w:val="22"/>
              </w:rPr>
              <w:t>learning gaps</w:t>
            </w:r>
            <w:r w:rsidR="004B06C9" w:rsidRPr="00B64A47">
              <w:rPr>
                <w:color w:val="auto"/>
                <w:sz w:val="22"/>
              </w:rPr>
              <w:t xml:space="preserve"> are assessed, </w:t>
            </w:r>
            <w:r w:rsidRPr="00B64A47">
              <w:rPr>
                <w:color w:val="auto"/>
                <w:sz w:val="22"/>
              </w:rPr>
              <w:t>curriculum content</w:t>
            </w:r>
            <w:r w:rsidR="004B06C9" w:rsidRPr="00B64A47">
              <w:rPr>
                <w:color w:val="auto"/>
                <w:sz w:val="22"/>
              </w:rPr>
              <w:t xml:space="preserve"> is selected and impact monitored.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F3FB55E" w:rsidR="006D411F" w:rsidRPr="00466B7F" w:rsidRDefault="00E81C87" w:rsidP="00C31636">
            <w:pPr>
              <w:pStyle w:val="TableRowCentered"/>
              <w:ind w:left="0" w:right="0"/>
              <w:jc w:val="left"/>
              <w:rPr>
                <w:color w:val="FF0000"/>
                <w:sz w:val="22"/>
              </w:rPr>
            </w:pPr>
            <w:r>
              <w:rPr>
                <w:color w:val="FF0000"/>
                <w:sz w:val="22"/>
              </w:rPr>
              <w:t>5</w:t>
            </w:r>
          </w:p>
        </w:tc>
      </w:tr>
      <w:tr w:rsidR="00E66558" w14:paraId="2A7D5530" w14:textId="77777777" w:rsidTr="00CE2FEA">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028F69C9" w:rsidR="00E66558" w:rsidRPr="00B64A47" w:rsidRDefault="000B51A2" w:rsidP="000B51A2">
            <w:pPr>
              <w:pStyle w:val="TableRow"/>
              <w:rPr>
                <w:color w:val="auto"/>
                <w:sz w:val="22"/>
              </w:rPr>
            </w:pPr>
            <w:r w:rsidRPr="00B64A47">
              <w:rPr>
                <w:color w:val="auto"/>
                <w:sz w:val="22"/>
              </w:rPr>
              <w:t>Targeted interventions and resources to meet the specific needs of disadvantaged pupils with SEND</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089D" w14:textId="34F76F6A" w:rsidR="00E66558" w:rsidRPr="00B64A47" w:rsidRDefault="006D411F" w:rsidP="00C31636">
            <w:pPr>
              <w:pStyle w:val="TableRowCentered"/>
              <w:ind w:left="0" w:right="0"/>
              <w:jc w:val="left"/>
              <w:rPr>
                <w:color w:val="auto"/>
                <w:sz w:val="22"/>
              </w:rPr>
            </w:pPr>
            <w:r w:rsidRPr="00B64A47">
              <w:rPr>
                <w:color w:val="auto"/>
                <w:sz w:val="22"/>
              </w:rPr>
              <w:t>Disadvantages pupils with SEND have the greatest need for excellent teaching. Specific approaches to support these pupils may include</w:t>
            </w:r>
            <w:r w:rsidR="004D5BF0" w:rsidRPr="00B64A47">
              <w:rPr>
                <w:color w:val="auto"/>
                <w:sz w:val="22"/>
              </w:rPr>
              <w:t xml:space="preserve"> explicit instruction, cognitive and metacognitive </w:t>
            </w:r>
            <w:r w:rsidR="00DF4DBB" w:rsidRPr="00B64A47">
              <w:rPr>
                <w:color w:val="auto"/>
                <w:sz w:val="22"/>
              </w:rPr>
              <w:t>strategies</w:t>
            </w:r>
            <w:r w:rsidR="004D5BF0" w:rsidRPr="00B64A47">
              <w:rPr>
                <w:color w:val="auto"/>
                <w:sz w:val="22"/>
              </w:rPr>
              <w:t>, scaffolding, flexible grouping</w:t>
            </w:r>
            <w:r w:rsidR="00DF4DBB" w:rsidRPr="00B64A47">
              <w:rPr>
                <w:color w:val="auto"/>
                <w:sz w:val="22"/>
              </w:rPr>
              <w:t xml:space="preserve"> </w:t>
            </w:r>
            <w:r w:rsidR="004D5BF0" w:rsidRPr="00B64A47">
              <w:rPr>
                <w:color w:val="auto"/>
                <w:sz w:val="22"/>
              </w:rPr>
              <w:t>and the targeted use of technology, (EEF)</w:t>
            </w:r>
          </w:p>
          <w:p w14:paraId="2A7D552E" w14:textId="21A56B41" w:rsidR="004D5BF0" w:rsidRPr="00B64A47" w:rsidRDefault="004D5BF0" w:rsidP="00C31636">
            <w:pPr>
              <w:pStyle w:val="TableRowCentered"/>
              <w:ind w:left="0" w:right="0"/>
              <w:jc w:val="left"/>
              <w:rPr>
                <w:color w:val="auto"/>
                <w:sz w:val="22"/>
              </w:rPr>
            </w:pPr>
            <w:r w:rsidRPr="00B64A47">
              <w:rPr>
                <w:color w:val="auto"/>
                <w:sz w:val="22"/>
              </w:rPr>
              <w:t>See – Special Educational Needs in Mainstream Schools – five evidence-based recommendations to support pupils with SEND, Five a Day Poster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15F5E6D" w:rsidR="00DF4DBB" w:rsidRPr="00466B7F" w:rsidRDefault="00E81C87" w:rsidP="00C31636">
            <w:pPr>
              <w:pStyle w:val="TableRowCentered"/>
              <w:ind w:left="0" w:right="0"/>
              <w:jc w:val="left"/>
              <w:rPr>
                <w:color w:val="FF0000"/>
                <w:sz w:val="22"/>
              </w:rPr>
            </w:pPr>
            <w:r>
              <w:rPr>
                <w:color w:val="FF0000"/>
                <w:sz w:val="22"/>
              </w:rPr>
              <w:t>5</w:t>
            </w:r>
          </w:p>
        </w:tc>
      </w:tr>
      <w:tr w:rsidR="000B51A2" w14:paraId="60C63F74" w14:textId="77777777" w:rsidTr="00CE2FEA">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999E" w14:textId="1F2D93CA" w:rsidR="000B51A2" w:rsidRPr="00B64A47" w:rsidRDefault="000B51A2" w:rsidP="000B51A2">
            <w:pPr>
              <w:pStyle w:val="TableRow"/>
              <w:rPr>
                <w:color w:val="auto"/>
                <w:sz w:val="22"/>
              </w:rPr>
            </w:pPr>
            <w:r w:rsidRPr="00B64A47">
              <w:rPr>
                <w:color w:val="auto"/>
                <w:sz w:val="22"/>
              </w:rPr>
              <w:t>Teaching assistant deployment and interventions</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4D8A3" w14:textId="77777777" w:rsidR="000B51A2" w:rsidRPr="00B64A47" w:rsidRDefault="004D5BF0" w:rsidP="00C31636">
            <w:pPr>
              <w:pStyle w:val="TableRowCentered"/>
              <w:ind w:left="0" w:right="0"/>
              <w:jc w:val="left"/>
              <w:rPr>
                <w:color w:val="auto"/>
                <w:sz w:val="22"/>
              </w:rPr>
            </w:pPr>
            <w:r w:rsidRPr="00B64A47">
              <w:rPr>
                <w:color w:val="auto"/>
                <w:sz w:val="22"/>
              </w:rPr>
              <w:t>Strategic deployment of teaching assistants in important to ensuring that priority pupils are supported. Tas should be fully prepared for their role in any given lesson or intervention and their input should complement, rather that replace, high quality provision from the class teacher. (EEF)</w:t>
            </w:r>
          </w:p>
          <w:p w14:paraId="2DE51858" w14:textId="27AE3A07" w:rsidR="004D5BF0" w:rsidRPr="00B64A47" w:rsidRDefault="004D5BF0" w:rsidP="00DF4DBB">
            <w:pPr>
              <w:pStyle w:val="TableRowCentered"/>
              <w:ind w:left="0" w:right="0"/>
              <w:jc w:val="left"/>
              <w:rPr>
                <w:color w:val="auto"/>
                <w:sz w:val="22"/>
              </w:rPr>
            </w:pPr>
            <w:r w:rsidRPr="00B64A47">
              <w:rPr>
                <w:color w:val="auto"/>
                <w:sz w:val="22"/>
              </w:rPr>
              <w:t xml:space="preserve">See – </w:t>
            </w:r>
            <w:r w:rsidR="00DF4DBB" w:rsidRPr="00B64A47">
              <w:rPr>
                <w:color w:val="auto"/>
                <w:sz w:val="22"/>
              </w:rPr>
              <w:t>M</w:t>
            </w:r>
            <w:r w:rsidRPr="00B64A47">
              <w:rPr>
                <w:color w:val="auto"/>
                <w:sz w:val="22"/>
              </w:rPr>
              <w:t xml:space="preserve">aking the Best Use of Teaching </w:t>
            </w:r>
            <w:r w:rsidR="00DF4DBB" w:rsidRPr="00B64A47">
              <w:rPr>
                <w:color w:val="auto"/>
                <w:sz w:val="22"/>
              </w:rPr>
              <w:t>Assistants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3A88F" w14:textId="7077B498" w:rsidR="000B51A2" w:rsidRPr="00466B7F" w:rsidRDefault="00E81C87" w:rsidP="00C31636">
            <w:pPr>
              <w:pStyle w:val="TableRowCentered"/>
              <w:ind w:left="0" w:right="0"/>
              <w:jc w:val="left"/>
              <w:rPr>
                <w:color w:val="FF0000"/>
                <w:sz w:val="22"/>
              </w:rPr>
            </w:pPr>
            <w:r>
              <w:rPr>
                <w:color w:val="FF0000"/>
                <w:sz w:val="22"/>
              </w:rPr>
              <w:t>1,2,3</w:t>
            </w:r>
          </w:p>
        </w:tc>
      </w:tr>
    </w:tbl>
    <w:p w14:paraId="2A7D5532" w14:textId="59A68BC3" w:rsidR="00E66558" w:rsidRPr="00AA355B" w:rsidRDefault="009D71E8" w:rsidP="00AA355B">
      <w:pPr>
        <w:pStyle w:val="Heading3"/>
      </w:pPr>
      <w:r>
        <w:lastRenderedPageBreak/>
        <w:t>Wider strategies (for example, related to attendance, behaviour, wellbeing)</w:t>
      </w:r>
    </w:p>
    <w:p w14:paraId="2A7D5533" w14:textId="3F903D5F" w:rsidR="00E66558" w:rsidRDefault="009D71E8">
      <w:pPr>
        <w:spacing w:before="240" w:after="120"/>
      </w:pPr>
      <w:r>
        <w:t xml:space="preserve">Budgeted cost: £ </w:t>
      </w:r>
      <w:r w:rsidR="00FB09B4">
        <w:rPr>
          <w:i/>
          <w:iCs/>
        </w:rPr>
        <w:t>15,17</w:t>
      </w:r>
      <w:r w:rsidR="00750CAD">
        <w:rPr>
          <w:i/>
          <w:iCs/>
        </w:rPr>
        <w:t>0</w:t>
      </w:r>
    </w:p>
    <w:tbl>
      <w:tblPr>
        <w:tblW w:w="5000" w:type="pct"/>
        <w:tblCellMar>
          <w:left w:w="10" w:type="dxa"/>
          <w:right w:w="10" w:type="dxa"/>
        </w:tblCellMar>
        <w:tblLook w:val="04A0" w:firstRow="1" w:lastRow="0" w:firstColumn="1" w:lastColumn="0" w:noHBand="0" w:noVBand="1"/>
      </w:tblPr>
      <w:tblGrid>
        <w:gridCol w:w="2263"/>
        <w:gridCol w:w="4679"/>
        <w:gridCol w:w="2544"/>
      </w:tblGrid>
      <w:tr w:rsidR="00E66558" w14:paraId="2A7D5537" w14:textId="77777777" w:rsidTr="00CE2FEA">
        <w:tc>
          <w:tcPr>
            <w:tcW w:w="226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Pr="00B64A47" w:rsidRDefault="009D71E8" w:rsidP="00C31636">
            <w:pPr>
              <w:pStyle w:val="TableHeader"/>
              <w:ind w:left="0" w:right="0"/>
              <w:jc w:val="left"/>
              <w:rPr>
                <w:color w:val="auto"/>
              </w:rPr>
            </w:pPr>
            <w:r w:rsidRPr="00B64A47">
              <w:rPr>
                <w:color w:val="auto"/>
              </w:rPr>
              <w:t>Activity</w:t>
            </w:r>
          </w:p>
        </w:tc>
        <w:tc>
          <w:tcPr>
            <w:tcW w:w="467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Pr="00B64A47" w:rsidRDefault="009D71E8" w:rsidP="00C31636">
            <w:pPr>
              <w:pStyle w:val="TableHeader"/>
              <w:ind w:left="0" w:right="0"/>
              <w:jc w:val="left"/>
              <w:rPr>
                <w:color w:val="auto"/>
              </w:rPr>
            </w:pPr>
            <w:r w:rsidRPr="00B64A47">
              <w:rPr>
                <w:color w:val="auto"/>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66558" w14:paraId="2A7D553B" w14:textId="77777777" w:rsidTr="00CE2FEA">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4840196" w:rsidR="00E66558" w:rsidRPr="00B64A47" w:rsidRDefault="00DF4DBB" w:rsidP="00DF4DBB">
            <w:pPr>
              <w:pStyle w:val="TableRow"/>
              <w:ind w:left="0" w:right="0"/>
              <w:rPr>
                <w:color w:val="auto"/>
              </w:rPr>
            </w:pPr>
            <w:r w:rsidRPr="00B64A47">
              <w:rPr>
                <w:color w:val="auto"/>
              </w:rPr>
              <w:t>Supporting pupils’ social, emotional, and behavioural needs</w:t>
            </w: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5C28A" w14:textId="6B5D66A9" w:rsidR="00E66558" w:rsidRPr="00B64A47" w:rsidRDefault="00DF4DBB" w:rsidP="00C31636">
            <w:pPr>
              <w:pStyle w:val="TableRowCentered"/>
              <w:ind w:left="0" w:right="0"/>
              <w:jc w:val="left"/>
              <w:rPr>
                <w:color w:val="auto"/>
                <w:sz w:val="22"/>
              </w:rPr>
            </w:pPr>
            <w:r w:rsidRPr="00B64A47">
              <w:rPr>
                <w:color w:val="auto"/>
                <w:sz w:val="22"/>
              </w:rPr>
              <w:t xml:space="preserve">Social and emotional skills support effective learning and are linked to positive outcomes later in life. </w:t>
            </w:r>
            <w:r w:rsidR="00E81C87" w:rsidRPr="00B64A47">
              <w:rPr>
                <w:color w:val="auto"/>
                <w:sz w:val="22"/>
              </w:rPr>
              <w:t>We aim to take into account</w:t>
            </w:r>
            <w:r w:rsidRPr="00B64A47">
              <w:rPr>
                <w:color w:val="auto"/>
                <w:sz w:val="22"/>
              </w:rPr>
              <w:t xml:space="preserve"> whole class approaches as well as targeted interventions, monitoring i</w:t>
            </w:r>
            <w:r w:rsidR="00680944" w:rsidRPr="00B64A47">
              <w:rPr>
                <w:color w:val="auto"/>
                <w:sz w:val="22"/>
              </w:rPr>
              <w:t>mpact of these choices carefully. (EEF)</w:t>
            </w:r>
          </w:p>
          <w:p w14:paraId="793840A0" w14:textId="6B0EAE98" w:rsidR="00750CAD" w:rsidRPr="00B64A47" w:rsidRDefault="00750CAD" w:rsidP="00C31636">
            <w:pPr>
              <w:pStyle w:val="TableRowCentered"/>
              <w:ind w:left="0" w:right="0"/>
              <w:jc w:val="left"/>
              <w:rPr>
                <w:color w:val="auto"/>
                <w:sz w:val="22"/>
              </w:rPr>
            </w:pPr>
            <w:r w:rsidRPr="00B64A47">
              <w:rPr>
                <w:color w:val="auto"/>
                <w:sz w:val="22"/>
              </w:rPr>
              <w:t>Increased support from internal Relax Kids therapist and number of referrals to MHST.</w:t>
            </w:r>
          </w:p>
          <w:p w14:paraId="2A7D5539" w14:textId="74E9F697" w:rsidR="00680944" w:rsidRPr="00B64A47" w:rsidRDefault="00680944" w:rsidP="00C31636">
            <w:pPr>
              <w:pStyle w:val="TableRowCentered"/>
              <w:ind w:left="0" w:right="0"/>
              <w:jc w:val="left"/>
              <w:rPr>
                <w:color w:val="auto"/>
                <w:sz w:val="22"/>
              </w:rPr>
            </w:pPr>
            <w:r w:rsidRPr="00B64A47">
              <w:rPr>
                <w:color w:val="auto"/>
                <w:sz w:val="22"/>
              </w:rPr>
              <w:t>See – Improving Social and Emotional learning in Primary Schools, Improving Behaviour in Schools, Teaching and Learning toolkit – strands on social and emotional learning and behaviour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93BF9A8" w:rsidR="00680944" w:rsidRPr="00DF4DBB" w:rsidRDefault="00E81C87" w:rsidP="00C31636">
            <w:pPr>
              <w:pStyle w:val="TableRowCentered"/>
              <w:ind w:left="0" w:right="0"/>
              <w:jc w:val="left"/>
              <w:rPr>
                <w:color w:val="FF0000"/>
                <w:sz w:val="22"/>
              </w:rPr>
            </w:pPr>
            <w:r>
              <w:rPr>
                <w:color w:val="FF0000"/>
                <w:sz w:val="22"/>
              </w:rPr>
              <w:t>1,2</w:t>
            </w:r>
          </w:p>
        </w:tc>
      </w:tr>
      <w:tr w:rsidR="00E66558" w14:paraId="2A7D553F" w14:textId="77777777" w:rsidTr="00CE2FEA">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E7A90A2" w:rsidR="00E66558" w:rsidRPr="00B64A47" w:rsidRDefault="00DF4DBB" w:rsidP="00C31636">
            <w:pPr>
              <w:pStyle w:val="TableRow"/>
              <w:ind w:left="0" w:right="0"/>
              <w:rPr>
                <w:color w:val="auto"/>
                <w:sz w:val="22"/>
              </w:rPr>
            </w:pPr>
            <w:r w:rsidRPr="00B64A47">
              <w:rPr>
                <w:color w:val="auto"/>
                <w:sz w:val="22"/>
              </w:rPr>
              <w:t>Supporting attendance</w:t>
            </w: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6DA6D" w14:textId="51A4EE7D" w:rsidR="00E66558" w:rsidRPr="00B64A47" w:rsidRDefault="00680944" w:rsidP="00C31636">
            <w:pPr>
              <w:pStyle w:val="TableRowCentered"/>
              <w:ind w:left="0" w:right="0"/>
              <w:jc w:val="left"/>
              <w:rPr>
                <w:color w:val="auto"/>
                <w:sz w:val="22"/>
              </w:rPr>
            </w:pPr>
            <w:r w:rsidRPr="00B64A47">
              <w:rPr>
                <w:color w:val="auto"/>
                <w:sz w:val="22"/>
              </w:rPr>
              <w:t>Poor attendance at school is linked to poor academic attainment across all stages. Some parental communication approaches and targeted parental engagement interventions show promise in supporting pupil attendance. (EEF)</w:t>
            </w:r>
          </w:p>
          <w:p w14:paraId="3F5E1C55" w14:textId="2DCA53BF" w:rsidR="00E81C87" w:rsidRPr="00B64A47" w:rsidRDefault="00E81C87" w:rsidP="00C31636">
            <w:pPr>
              <w:pStyle w:val="TableRowCentered"/>
              <w:ind w:left="0" w:right="0"/>
              <w:jc w:val="left"/>
              <w:rPr>
                <w:color w:val="auto"/>
                <w:sz w:val="22"/>
              </w:rPr>
            </w:pPr>
            <w:r w:rsidRPr="00B64A47">
              <w:rPr>
                <w:color w:val="auto"/>
                <w:sz w:val="22"/>
              </w:rPr>
              <w:t>We aim to work closely with our school attendance officer to support vulnerable families and children.</w:t>
            </w:r>
          </w:p>
          <w:p w14:paraId="45FB8ACC" w14:textId="1672CC40" w:rsidR="00E81C87" w:rsidRPr="00B64A47" w:rsidRDefault="00E81C87" w:rsidP="00C31636">
            <w:pPr>
              <w:pStyle w:val="TableRowCentered"/>
              <w:ind w:left="0" w:right="0"/>
              <w:jc w:val="left"/>
              <w:rPr>
                <w:color w:val="auto"/>
                <w:sz w:val="22"/>
              </w:rPr>
            </w:pPr>
            <w:r w:rsidRPr="00B64A47">
              <w:rPr>
                <w:color w:val="auto"/>
                <w:sz w:val="22"/>
              </w:rPr>
              <w:t>Purchase of rewards for celebrating good attendance.</w:t>
            </w:r>
          </w:p>
          <w:p w14:paraId="2A7D553D" w14:textId="0456D5A2" w:rsidR="00680944" w:rsidRPr="00B64A47" w:rsidRDefault="00680944" w:rsidP="00C31636">
            <w:pPr>
              <w:pStyle w:val="TableRowCentered"/>
              <w:ind w:left="0" w:right="0"/>
              <w:jc w:val="left"/>
              <w:rPr>
                <w:color w:val="auto"/>
                <w:sz w:val="22"/>
              </w:rPr>
            </w:pPr>
            <w:r w:rsidRPr="00B64A47">
              <w:rPr>
                <w:color w:val="auto"/>
                <w:sz w:val="22"/>
              </w:rPr>
              <w:t xml:space="preserve">See Supporting School Attendance.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A381A06" w:rsidR="00CE2FEA" w:rsidRPr="00DF4DBB" w:rsidRDefault="00E81C87" w:rsidP="00C31636">
            <w:pPr>
              <w:pStyle w:val="TableRowCentered"/>
              <w:ind w:left="0" w:right="0"/>
              <w:jc w:val="left"/>
              <w:rPr>
                <w:color w:val="FF0000"/>
                <w:sz w:val="22"/>
              </w:rPr>
            </w:pPr>
            <w:r>
              <w:rPr>
                <w:color w:val="FF0000"/>
                <w:sz w:val="22"/>
              </w:rPr>
              <w:t>4</w:t>
            </w:r>
          </w:p>
        </w:tc>
      </w:tr>
      <w:tr w:rsidR="00DF4DBB" w14:paraId="17C86595" w14:textId="77777777" w:rsidTr="00CE2FEA">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426E0" w14:textId="7E4AC17A" w:rsidR="00DF4DBB" w:rsidRPr="00B64A47" w:rsidRDefault="00DF4DBB" w:rsidP="00C31636">
            <w:pPr>
              <w:pStyle w:val="TableRow"/>
              <w:ind w:left="0" w:right="0"/>
              <w:rPr>
                <w:color w:val="auto"/>
                <w:sz w:val="22"/>
              </w:rPr>
            </w:pPr>
            <w:r w:rsidRPr="00B64A47">
              <w:rPr>
                <w:color w:val="auto"/>
                <w:sz w:val="22"/>
              </w:rPr>
              <w:t>Extracurricular activities</w:t>
            </w: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25D31" w14:textId="1BFE4B16" w:rsidR="00DF4DBB" w:rsidRPr="00B64A47" w:rsidRDefault="00680944" w:rsidP="00C31636">
            <w:pPr>
              <w:pStyle w:val="TableRowCentered"/>
              <w:ind w:left="0" w:right="0"/>
              <w:jc w:val="left"/>
              <w:rPr>
                <w:color w:val="auto"/>
                <w:sz w:val="22"/>
              </w:rPr>
            </w:pPr>
            <w:r w:rsidRPr="00B64A47">
              <w:rPr>
                <w:color w:val="auto"/>
                <w:sz w:val="22"/>
              </w:rPr>
              <w:t>Extra- curricular activities are an important part of education. These approaches may increase engagement in learning but it is important to consider how increased engagement will be translated into improved outcomes. (EEF)</w:t>
            </w:r>
          </w:p>
          <w:p w14:paraId="05935AB8" w14:textId="28045790" w:rsidR="00E81C87" w:rsidRPr="00B64A47" w:rsidRDefault="00E81C87" w:rsidP="00C31636">
            <w:pPr>
              <w:pStyle w:val="TableRowCentered"/>
              <w:ind w:left="0" w:right="0"/>
              <w:jc w:val="left"/>
              <w:rPr>
                <w:color w:val="auto"/>
                <w:sz w:val="22"/>
              </w:rPr>
            </w:pPr>
            <w:r w:rsidRPr="00B64A47">
              <w:rPr>
                <w:color w:val="auto"/>
                <w:sz w:val="22"/>
              </w:rPr>
              <w:t>We aim to broaden our offer for all children and give them the opportunity to participate in a wide variety of extra curricular activities.</w:t>
            </w:r>
          </w:p>
          <w:p w14:paraId="1EA424FC" w14:textId="3C866A4A" w:rsidR="00680944" w:rsidRPr="00B64A47" w:rsidRDefault="00680944" w:rsidP="00C31636">
            <w:pPr>
              <w:pStyle w:val="TableRowCentered"/>
              <w:ind w:left="0" w:right="0"/>
              <w:jc w:val="left"/>
              <w:rPr>
                <w:color w:val="auto"/>
                <w:sz w:val="22"/>
              </w:rPr>
            </w:pPr>
            <w:r w:rsidRPr="00B64A47">
              <w:rPr>
                <w:color w:val="auto"/>
                <w:sz w:val="22"/>
              </w:rPr>
              <w:t>See Teaching and Learning Toolkit – arts participation</w:t>
            </w:r>
            <w:r w:rsidR="004D3B8E" w:rsidRPr="00B64A47">
              <w:rPr>
                <w:color w:val="auto"/>
                <w:sz w:val="22"/>
              </w:rPr>
              <w:t xml:space="preserve"> </w:t>
            </w:r>
            <w:r w:rsidRPr="00B64A47">
              <w:rPr>
                <w:color w:val="auto"/>
                <w:sz w:val="22"/>
              </w:rPr>
              <w:t>and physical activity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A793" w14:textId="27CC9299" w:rsidR="00DF4DBB" w:rsidRPr="00DF4DBB" w:rsidRDefault="00E81C87" w:rsidP="00C31636">
            <w:pPr>
              <w:pStyle w:val="TableRowCentered"/>
              <w:ind w:left="0" w:right="0"/>
              <w:jc w:val="left"/>
              <w:rPr>
                <w:color w:val="FF0000"/>
                <w:sz w:val="22"/>
              </w:rPr>
            </w:pPr>
            <w:r>
              <w:rPr>
                <w:color w:val="FF0000"/>
                <w:sz w:val="22"/>
              </w:rPr>
              <w:t>1,2,4</w:t>
            </w:r>
          </w:p>
        </w:tc>
      </w:tr>
      <w:tr w:rsidR="00DF4DBB" w14:paraId="5BEF9E34" w14:textId="77777777" w:rsidTr="00CE2FEA">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D066" w14:textId="65C3BA3E" w:rsidR="00DF4DBB" w:rsidRPr="00B64A47" w:rsidRDefault="00DF4DBB" w:rsidP="0076785B">
            <w:pPr>
              <w:pStyle w:val="TableRow"/>
              <w:rPr>
                <w:color w:val="auto"/>
                <w:sz w:val="22"/>
              </w:rPr>
            </w:pPr>
            <w:r w:rsidRPr="00B64A47">
              <w:rPr>
                <w:color w:val="auto"/>
                <w:sz w:val="22"/>
              </w:rPr>
              <w:t xml:space="preserve">Communicating with, </w:t>
            </w:r>
            <w:r w:rsidR="0076785B" w:rsidRPr="00B64A47">
              <w:rPr>
                <w:color w:val="auto"/>
                <w:sz w:val="22"/>
              </w:rPr>
              <w:t>a</w:t>
            </w:r>
            <w:r w:rsidRPr="00B64A47">
              <w:rPr>
                <w:color w:val="auto"/>
                <w:sz w:val="22"/>
              </w:rPr>
              <w:t>nd</w:t>
            </w:r>
            <w:r w:rsidR="0076785B" w:rsidRPr="00B64A47">
              <w:rPr>
                <w:color w:val="auto"/>
                <w:sz w:val="22"/>
              </w:rPr>
              <w:t xml:space="preserve"> </w:t>
            </w:r>
            <w:r w:rsidRPr="00B64A47">
              <w:rPr>
                <w:color w:val="auto"/>
                <w:sz w:val="22"/>
              </w:rPr>
              <w:t>supporting, parents</w:t>
            </w: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66239" w14:textId="77777777" w:rsidR="00DF4DBB" w:rsidRPr="00B64A47" w:rsidRDefault="0076785B" w:rsidP="00C31636">
            <w:pPr>
              <w:pStyle w:val="TableRowCentered"/>
              <w:ind w:left="0" w:right="0"/>
              <w:jc w:val="left"/>
              <w:rPr>
                <w:color w:val="auto"/>
                <w:sz w:val="22"/>
              </w:rPr>
            </w:pPr>
            <w:r w:rsidRPr="00B64A47">
              <w:rPr>
                <w:color w:val="auto"/>
                <w:sz w:val="22"/>
              </w:rPr>
              <w:t>Levels of parental engagement are consistently associated with improved academic outcomes. Practical approaches, such as supporting shared book reading or tailoring positive communications about learning, can prove actionable for schools. (EEF)</w:t>
            </w:r>
          </w:p>
          <w:p w14:paraId="7C76B80F" w14:textId="7B9FA513" w:rsidR="0076785B" w:rsidRPr="00B64A47" w:rsidRDefault="0076785B" w:rsidP="00C31636">
            <w:pPr>
              <w:pStyle w:val="TableRowCentered"/>
              <w:ind w:left="0" w:right="0"/>
              <w:jc w:val="left"/>
              <w:rPr>
                <w:color w:val="auto"/>
                <w:sz w:val="22"/>
              </w:rPr>
            </w:pPr>
            <w:r w:rsidRPr="00B64A47">
              <w:rPr>
                <w:color w:val="auto"/>
                <w:sz w:val="22"/>
              </w:rPr>
              <w:lastRenderedPageBreak/>
              <w:t xml:space="preserve">See </w:t>
            </w:r>
            <w:r w:rsidR="00CE2FEA" w:rsidRPr="00B64A47">
              <w:rPr>
                <w:color w:val="auto"/>
                <w:sz w:val="22"/>
              </w:rPr>
              <w:t>- Teaching</w:t>
            </w:r>
            <w:r w:rsidRPr="00B64A47">
              <w:rPr>
                <w:color w:val="auto"/>
                <w:sz w:val="22"/>
              </w:rPr>
              <w:t xml:space="preserve"> and Learning Toolkit – parental engagement, Working with Parents to Support Children’s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023F0" w14:textId="7C052219" w:rsidR="00DF4DBB" w:rsidRPr="00DF4DBB" w:rsidRDefault="00E81C87" w:rsidP="00C31636">
            <w:pPr>
              <w:pStyle w:val="TableRowCentered"/>
              <w:ind w:left="0" w:right="0"/>
              <w:jc w:val="left"/>
              <w:rPr>
                <w:color w:val="FF0000"/>
                <w:sz w:val="22"/>
              </w:rPr>
            </w:pPr>
            <w:r>
              <w:rPr>
                <w:color w:val="FF0000"/>
                <w:sz w:val="22"/>
              </w:rPr>
              <w:lastRenderedPageBreak/>
              <w:t>1,2</w:t>
            </w:r>
          </w:p>
        </w:tc>
      </w:tr>
    </w:tbl>
    <w:p w14:paraId="2A7D5540" w14:textId="77777777" w:rsidR="00E66558" w:rsidRDefault="00E66558">
      <w:pPr>
        <w:spacing w:before="240" w:after="0"/>
        <w:rPr>
          <w:b/>
          <w:bCs/>
          <w:color w:val="104F75"/>
          <w:sz w:val="28"/>
          <w:szCs w:val="28"/>
        </w:rPr>
      </w:pPr>
    </w:p>
    <w:p w14:paraId="2A7D5541" w14:textId="7E4FFEFA" w:rsidR="00E66558" w:rsidRDefault="00FB09B4" w:rsidP="00120AB1">
      <w:r>
        <w:rPr>
          <w:b/>
          <w:bCs/>
          <w:color w:val="104F75"/>
          <w:sz w:val="28"/>
          <w:szCs w:val="28"/>
        </w:rPr>
        <w:t>Total budgeted cost: £30,170</w:t>
      </w:r>
    </w:p>
    <w:p w14:paraId="2A7D5549" w14:textId="0B628E4D" w:rsidR="00E66558" w:rsidRDefault="0B240EAF" w:rsidP="07FFD3D3">
      <w:pPr>
        <w:rPr>
          <w:i/>
          <w:iCs/>
        </w:rPr>
      </w:pPr>
      <w:r w:rsidRPr="07FFD3D3">
        <w:rPr>
          <w:i/>
          <w:iCs/>
        </w:rPr>
        <w:t xml:space="preserve">. </w:t>
      </w:r>
    </w:p>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2A7D555F" w14:textId="77777777" w:rsidR="00E66558" w:rsidRDefault="00E66558">
      <w:pPr>
        <w:spacing w:after="0" w:line="240" w:lineRule="auto"/>
      </w:pPr>
    </w:p>
    <w:bookmarkEnd w:id="14"/>
    <w:bookmarkEnd w:id="15"/>
    <w:bookmarkEnd w:id="17"/>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19204" w14:textId="77777777" w:rsidR="005201C6" w:rsidRDefault="005201C6">
      <w:pPr>
        <w:spacing w:after="0" w:line="240" w:lineRule="auto"/>
      </w:pPr>
      <w:r>
        <w:separator/>
      </w:r>
    </w:p>
  </w:endnote>
  <w:endnote w:type="continuationSeparator" w:id="0">
    <w:p w14:paraId="376A96E7" w14:textId="77777777" w:rsidR="005201C6" w:rsidRDefault="005201C6">
      <w:pPr>
        <w:spacing w:after="0" w:line="240" w:lineRule="auto"/>
      </w:pPr>
      <w:r>
        <w:continuationSeparator/>
      </w:r>
    </w:p>
  </w:endnote>
  <w:endnote w:type="continuationNotice" w:id="1">
    <w:p w14:paraId="207DB352" w14:textId="77777777" w:rsidR="005201C6" w:rsidRDefault="00520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5CF54E8A" w:rsidR="00C373EA" w:rsidRDefault="009D71E8">
    <w:pPr>
      <w:pStyle w:val="Footer"/>
      <w:ind w:firstLine="4513"/>
    </w:pPr>
    <w:r>
      <w:fldChar w:fldCharType="begin"/>
    </w:r>
    <w:r>
      <w:instrText xml:space="preserve"> PAGE </w:instrText>
    </w:r>
    <w:r>
      <w:fldChar w:fldCharType="separate"/>
    </w:r>
    <w:r w:rsidR="00B64A4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22C15" w14:textId="77777777" w:rsidR="005201C6" w:rsidRDefault="005201C6">
      <w:pPr>
        <w:spacing w:after="0" w:line="240" w:lineRule="auto"/>
      </w:pPr>
      <w:r>
        <w:separator/>
      </w:r>
    </w:p>
  </w:footnote>
  <w:footnote w:type="continuationSeparator" w:id="0">
    <w:p w14:paraId="45208E9D" w14:textId="77777777" w:rsidR="005201C6" w:rsidRDefault="005201C6">
      <w:pPr>
        <w:spacing w:after="0" w:line="240" w:lineRule="auto"/>
      </w:pPr>
      <w:r>
        <w:continuationSeparator/>
      </w:r>
    </w:p>
  </w:footnote>
  <w:footnote w:type="continuationNotice" w:id="1">
    <w:p w14:paraId="1E6128AE" w14:textId="77777777" w:rsidR="005201C6" w:rsidRDefault="005201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0"/>
  </w:num>
  <w:num w:numId="6">
    <w:abstractNumId w:val="8"/>
  </w:num>
  <w:num w:numId="7">
    <w:abstractNumId w:val="12"/>
  </w:num>
  <w:num w:numId="8">
    <w:abstractNumId w:val="16"/>
  </w:num>
  <w:num w:numId="9">
    <w:abstractNumId w:val="14"/>
  </w:num>
  <w:num w:numId="10">
    <w:abstractNumId w:val="13"/>
  </w:num>
  <w:num w:numId="11">
    <w:abstractNumId w:val="4"/>
  </w:num>
  <w:num w:numId="12">
    <w:abstractNumId w:val="15"/>
  </w:num>
  <w:num w:numId="13">
    <w:abstractNumId w:val="11"/>
  </w:num>
  <w:num w:numId="14">
    <w:abstractNumId w:val="9"/>
  </w:num>
  <w:num w:numId="15">
    <w:abstractNumId w:val="2"/>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07067"/>
    <w:rsid w:val="00023729"/>
    <w:rsid w:val="000243B4"/>
    <w:rsid w:val="0002530E"/>
    <w:rsid w:val="0002710D"/>
    <w:rsid w:val="00031EA0"/>
    <w:rsid w:val="00035558"/>
    <w:rsid w:val="00036678"/>
    <w:rsid w:val="000452EB"/>
    <w:rsid w:val="00045603"/>
    <w:rsid w:val="000463AE"/>
    <w:rsid w:val="000507A3"/>
    <w:rsid w:val="00060A62"/>
    <w:rsid w:val="00064366"/>
    <w:rsid w:val="00066B73"/>
    <w:rsid w:val="00071481"/>
    <w:rsid w:val="00071D77"/>
    <w:rsid w:val="00075FAE"/>
    <w:rsid w:val="00082D74"/>
    <w:rsid w:val="00082F38"/>
    <w:rsid w:val="000837DB"/>
    <w:rsid w:val="0008384B"/>
    <w:rsid w:val="000929EC"/>
    <w:rsid w:val="00093CDE"/>
    <w:rsid w:val="000A5C58"/>
    <w:rsid w:val="000A6379"/>
    <w:rsid w:val="000B0D49"/>
    <w:rsid w:val="000B203E"/>
    <w:rsid w:val="000B51A2"/>
    <w:rsid w:val="000D22B0"/>
    <w:rsid w:val="000D318D"/>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409B"/>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34FE5"/>
    <w:rsid w:val="00242093"/>
    <w:rsid w:val="00243F22"/>
    <w:rsid w:val="002523E3"/>
    <w:rsid w:val="00252AD6"/>
    <w:rsid w:val="002542CE"/>
    <w:rsid w:val="00257A4E"/>
    <w:rsid w:val="00266FA5"/>
    <w:rsid w:val="00276FBA"/>
    <w:rsid w:val="00277665"/>
    <w:rsid w:val="002837AE"/>
    <w:rsid w:val="00287FA8"/>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07ABF"/>
    <w:rsid w:val="003111F5"/>
    <w:rsid w:val="00317664"/>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94A0B"/>
    <w:rsid w:val="003A32B2"/>
    <w:rsid w:val="003A47DD"/>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66B7F"/>
    <w:rsid w:val="004708F2"/>
    <w:rsid w:val="004724DE"/>
    <w:rsid w:val="004770FE"/>
    <w:rsid w:val="0048157F"/>
    <w:rsid w:val="00481D56"/>
    <w:rsid w:val="00490408"/>
    <w:rsid w:val="004A4C45"/>
    <w:rsid w:val="004A55C4"/>
    <w:rsid w:val="004B0485"/>
    <w:rsid w:val="004B06C9"/>
    <w:rsid w:val="004B0ED7"/>
    <w:rsid w:val="004B1F58"/>
    <w:rsid w:val="004B428E"/>
    <w:rsid w:val="004B4D0A"/>
    <w:rsid w:val="004B4D37"/>
    <w:rsid w:val="004C42F0"/>
    <w:rsid w:val="004D3B8E"/>
    <w:rsid w:val="004D50C8"/>
    <w:rsid w:val="004D5BF0"/>
    <w:rsid w:val="004D6B72"/>
    <w:rsid w:val="004E1D73"/>
    <w:rsid w:val="004E5450"/>
    <w:rsid w:val="004E57C3"/>
    <w:rsid w:val="004E72DD"/>
    <w:rsid w:val="004F22CD"/>
    <w:rsid w:val="004F7BF7"/>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0944"/>
    <w:rsid w:val="00681416"/>
    <w:rsid w:val="006A06F5"/>
    <w:rsid w:val="006A0ED2"/>
    <w:rsid w:val="006B0A73"/>
    <w:rsid w:val="006B5A6B"/>
    <w:rsid w:val="006C0F82"/>
    <w:rsid w:val="006C25E8"/>
    <w:rsid w:val="006C332E"/>
    <w:rsid w:val="006C5901"/>
    <w:rsid w:val="006D00F1"/>
    <w:rsid w:val="006D377A"/>
    <w:rsid w:val="006D411F"/>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0CAD"/>
    <w:rsid w:val="00752AE7"/>
    <w:rsid w:val="00752D3B"/>
    <w:rsid w:val="0075337B"/>
    <w:rsid w:val="00755CD4"/>
    <w:rsid w:val="00757F96"/>
    <w:rsid w:val="007610B5"/>
    <w:rsid w:val="007623CB"/>
    <w:rsid w:val="00762652"/>
    <w:rsid w:val="00764551"/>
    <w:rsid w:val="0076556F"/>
    <w:rsid w:val="007677B8"/>
    <w:rsid w:val="0076785B"/>
    <w:rsid w:val="00781713"/>
    <w:rsid w:val="00785285"/>
    <w:rsid w:val="0078529D"/>
    <w:rsid w:val="00785E77"/>
    <w:rsid w:val="0078720B"/>
    <w:rsid w:val="00787DC1"/>
    <w:rsid w:val="00794070"/>
    <w:rsid w:val="007A63CA"/>
    <w:rsid w:val="007A713B"/>
    <w:rsid w:val="007A7DA0"/>
    <w:rsid w:val="007B64E5"/>
    <w:rsid w:val="007C2F04"/>
    <w:rsid w:val="007E50FD"/>
    <w:rsid w:val="007F06E5"/>
    <w:rsid w:val="007F5B8B"/>
    <w:rsid w:val="00805BC0"/>
    <w:rsid w:val="00814FB9"/>
    <w:rsid w:val="00817E9A"/>
    <w:rsid w:val="00821109"/>
    <w:rsid w:val="00827786"/>
    <w:rsid w:val="00827BDA"/>
    <w:rsid w:val="00830D57"/>
    <w:rsid w:val="00831F00"/>
    <w:rsid w:val="00850CA0"/>
    <w:rsid w:val="00852A2F"/>
    <w:rsid w:val="008608EE"/>
    <w:rsid w:val="00860B07"/>
    <w:rsid w:val="008616F6"/>
    <w:rsid w:val="0086259C"/>
    <w:rsid w:val="00863671"/>
    <w:rsid w:val="008674ED"/>
    <w:rsid w:val="0087074C"/>
    <w:rsid w:val="00874913"/>
    <w:rsid w:val="00883F24"/>
    <w:rsid w:val="008954A1"/>
    <w:rsid w:val="00897E1F"/>
    <w:rsid w:val="008A22EB"/>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63DD"/>
    <w:rsid w:val="00A112B5"/>
    <w:rsid w:val="00A14EEA"/>
    <w:rsid w:val="00A3083C"/>
    <w:rsid w:val="00A33636"/>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7B5A"/>
    <w:rsid w:val="00AE229F"/>
    <w:rsid w:val="00AF0618"/>
    <w:rsid w:val="00AF5E20"/>
    <w:rsid w:val="00B002FA"/>
    <w:rsid w:val="00B00327"/>
    <w:rsid w:val="00B024B3"/>
    <w:rsid w:val="00B11DE8"/>
    <w:rsid w:val="00B179ED"/>
    <w:rsid w:val="00B20E18"/>
    <w:rsid w:val="00B331E1"/>
    <w:rsid w:val="00B4532A"/>
    <w:rsid w:val="00B47C66"/>
    <w:rsid w:val="00B572C4"/>
    <w:rsid w:val="00B60858"/>
    <w:rsid w:val="00B60D69"/>
    <w:rsid w:val="00B6234E"/>
    <w:rsid w:val="00B64A47"/>
    <w:rsid w:val="00B74D4E"/>
    <w:rsid w:val="00B80219"/>
    <w:rsid w:val="00B86E26"/>
    <w:rsid w:val="00B87184"/>
    <w:rsid w:val="00B91453"/>
    <w:rsid w:val="00BA19A5"/>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23C11"/>
    <w:rsid w:val="00C2441E"/>
    <w:rsid w:val="00C25827"/>
    <w:rsid w:val="00C31636"/>
    <w:rsid w:val="00C31BB8"/>
    <w:rsid w:val="00C373EA"/>
    <w:rsid w:val="00C42906"/>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97A7F"/>
    <w:rsid w:val="00CA4421"/>
    <w:rsid w:val="00CA5363"/>
    <w:rsid w:val="00CA7D07"/>
    <w:rsid w:val="00CB24A4"/>
    <w:rsid w:val="00CB5B17"/>
    <w:rsid w:val="00CB6AA0"/>
    <w:rsid w:val="00CC4443"/>
    <w:rsid w:val="00CC5CAF"/>
    <w:rsid w:val="00CE2FEA"/>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B0C60"/>
    <w:rsid w:val="00DB575E"/>
    <w:rsid w:val="00DC641A"/>
    <w:rsid w:val="00DD21A1"/>
    <w:rsid w:val="00DD68FB"/>
    <w:rsid w:val="00DD6B7D"/>
    <w:rsid w:val="00DD6E14"/>
    <w:rsid w:val="00DE15AC"/>
    <w:rsid w:val="00DF2015"/>
    <w:rsid w:val="00DF4DBB"/>
    <w:rsid w:val="00E061EC"/>
    <w:rsid w:val="00E0696B"/>
    <w:rsid w:val="00E10E81"/>
    <w:rsid w:val="00E13E51"/>
    <w:rsid w:val="00E21F56"/>
    <w:rsid w:val="00E3014F"/>
    <w:rsid w:val="00E4286E"/>
    <w:rsid w:val="00E43EAD"/>
    <w:rsid w:val="00E62DCB"/>
    <w:rsid w:val="00E651DD"/>
    <w:rsid w:val="00E66558"/>
    <w:rsid w:val="00E70D81"/>
    <w:rsid w:val="00E726A6"/>
    <w:rsid w:val="00E73418"/>
    <w:rsid w:val="00E8109E"/>
    <w:rsid w:val="00E81C87"/>
    <w:rsid w:val="00E83619"/>
    <w:rsid w:val="00E85C23"/>
    <w:rsid w:val="00E86F05"/>
    <w:rsid w:val="00EA3A2A"/>
    <w:rsid w:val="00EA6B46"/>
    <w:rsid w:val="00EB4556"/>
    <w:rsid w:val="00EB4A11"/>
    <w:rsid w:val="00EB64C8"/>
    <w:rsid w:val="00ED4136"/>
    <w:rsid w:val="00ED5108"/>
    <w:rsid w:val="00ED6AE8"/>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3D"/>
    <w:rsid w:val="00F76843"/>
    <w:rsid w:val="00F776E1"/>
    <w:rsid w:val="00F77E8D"/>
    <w:rsid w:val="00F925EB"/>
    <w:rsid w:val="00F97033"/>
    <w:rsid w:val="00FA6DD0"/>
    <w:rsid w:val="00FB09B4"/>
    <w:rsid w:val="00FC28DF"/>
    <w:rsid w:val="00FD1780"/>
    <w:rsid w:val="00FD2297"/>
    <w:rsid w:val="00FD2D81"/>
    <w:rsid w:val="00FD406D"/>
    <w:rsid w:val="00FD6AC6"/>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6</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Gemma Veevers</cp:lastModifiedBy>
  <cp:revision>13</cp:revision>
  <cp:lastPrinted>2014-09-18T05:26:00Z</cp:lastPrinted>
  <dcterms:created xsi:type="dcterms:W3CDTF">2024-11-18T16:46:00Z</dcterms:created>
  <dcterms:modified xsi:type="dcterms:W3CDTF">2024-12-16T13:49:00Z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